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1C078"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Public Comment Submission: Proposed GNSO Process for ICANN Board to Reverse Adoption of GNSO Policy Recommendations</w:t>
      </w:r>
    </w:p>
    <w:p w14:paraId="1521A70B"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Submitted by:</w:t>
      </w:r>
      <w:r w:rsidRPr="00324D1C">
        <w:rPr>
          <w:rFonts w:ascii="Times New Roman" w:eastAsia="Times New Roman" w:hAnsi="Times New Roman" w:cs="Times New Roman"/>
          <w:kern w:val="0"/>
          <w:sz w:val="24"/>
          <w:szCs w:val="24"/>
          <w:lang w:eastAsia="en-AU"/>
          <w14:ligatures w14:val="none"/>
        </w:rPr>
        <w:t xml:space="preserve"> [Your Affiliation, e.g., At-Large Advisory Committee (ALAC) Member] </w:t>
      </w:r>
      <w:r w:rsidRPr="00324D1C">
        <w:rPr>
          <w:rFonts w:ascii="Times New Roman" w:eastAsia="Times New Roman" w:hAnsi="Times New Roman" w:cs="Times New Roman"/>
          <w:b/>
          <w:bCs/>
          <w:kern w:val="0"/>
          <w:sz w:val="24"/>
          <w:szCs w:val="24"/>
          <w:lang w:eastAsia="en-AU"/>
          <w14:ligatures w14:val="none"/>
        </w:rPr>
        <w:t>Date:</w:t>
      </w:r>
      <w:r w:rsidRPr="00324D1C">
        <w:rPr>
          <w:rFonts w:ascii="Times New Roman" w:eastAsia="Times New Roman" w:hAnsi="Times New Roman" w:cs="Times New Roman"/>
          <w:kern w:val="0"/>
          <w:sz w:val="24"/>
          <w:szCs w:val="24"/>
          <w:lang w:eastAsia="en-AU"/>
          <w14:ligatures w14:val="none"/>
        </w:rPr>
        <w:t xml:space="preserve"> December 3, 2025</w:t>
      </w:r>
    </w:p>
    <w:p w14:paraId="4712169B"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kern w:val="0"/>
          <w:sz w:val="24"/>
          <w:szCs w:val="24"/>
          <w:lang w:eastAsia="en-AU"/>
          <w14:ligatures w14:val="none"/>
        </w:rPr>
        <w:t>As an At-Large representative advocating for ~200 million individual internet users worldwide, I commend the GNSO Council's timely proposal to formalize a Board reversal mechanism for adopted GNSO recommendations. This directly addresses the procedural gap exposed by the New gTLD Subsequent Procedures PDP's Recommendation 20.6 on joint ventures, where unforeseen antitrust risks prompted an ad-hoc reversal—highlighting the need for structure without undermining the bottom-up multistakeholder model (Bylaws Article 11) or the Board's fiduciary duties (Article 2, Section 2.8). End-users stand to benefit from predictable processes that protect timely policies on privacy (e.g., EPDP) and domain accessibility, but the draft risks over-flexibility without stronger guardrails.</w:t>
      </w:r>
    </w:p>
    <w:p w14:paraId="1BFA0856"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kern w:val="0"/>
          <w:sz w:val="24"/>
          <w:szCs w:val="24"/>
          <w:lang w:eastAsia="en-AU"/>
          <w14:ligatures w14:val="none"/>
        </w:rPr>
        <w:t xml:space="preserve">This input responds to the call for community perspectives on the PDP/GGP Manual updates, focusing on the balance of flexibility and guardrails. I propose six targeted, implementable refinements to ensure exceptional use only, volunteer feasibility, and end-user inclusion—drawing from </w:t>
      </w: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lessons and At-Large priorities.</w:t>
      </w:r>
    </w:p>
    <w:p w14:paraId="621E7E6B"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Threshold for Reversal ("Serious and Compelling Reasons")</w:t>
      </w:r>
      <w:r w:rsidRPr="00324D1C">
        <w:rPr>
          <w:rFonts w:ascii="Times New Roman" w:eastAsia="Times New Roman" w:hAnsi="Times New Roman" w:cs="Times New Roman"/>
          <w:kern w:val="0"/>
          <w:sz w:val="24"/>
          <w:szCs w:val="24"/>
          <w:lang w:eastAsia="en-AU"/>
          <w14:ligatures w14:val="none"/>
        </w:rPr>
        <w:t xml:space="preserve">: The concept is appropriate for rare cases but lacks clarity, potentially inviting subjective Board interpretations that chill GNSO Working Groups.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xml:space="preserve">: Replace with an objective two-part test (both required): (a) Material new information or changed circumstances </w:t>
      </w:r>
      <w:r w:rsidRPr="00324D1C">
        <w:rPr>
          <w:rFonts w:ascii="Times New Roman" w:eastAsia="Times New Roman" w:hAnsi="Times New Roman" w:cs="Times New Roman"/>
          <w:b/>
          <w:bCs/>
          <w:kern w:val="0"/>
          <w:sz w:val="24"/>
          <w:szCs w:val="24"/>
          <w:lang w:eastAsia="en-AU"/>
          <w14:ligatures w14:val="none"/>
        </w:rPr>
        <w:t>not reasonably foreseeable or available</w:t>
      </w:r>
      <w:r w:rsidRPr="00324D1C">
        <w:rPr>
          <w:rFonts w:ascii="Times New Roman" w:eastAsia="Times New Roman" w:hAnsi="Times New Roman" w:cs="Times New Roman"/>
          <w:kern w:val="0"/>
          <w:sz w:val="24"/>
          <w:szCs w:val="24"/>
          <w:lang w:eastAsia="en-AU"/>
          <w14:ligatures w14:val="none"/>
        </w:rPr>
        <w:t xml:space="preserve"> to the PDP/GGP WG at adoption, </w:t>
      </w:r>
      <w:r w:rsidRPr="00324D1C">
        <w:rPr>
          <w:rFonts w:ascii="Times New Roman" w:eastAsia="Times New Roman" w:hAnsi="Times New Roman" w:cs="Times New Roman"/>
          <w:b/>
          <w:bCs/>
          <w:kern w:val="0"/>
          <w:sz w:val="24"/>
          <w:szCs w:val="24"/>
          <w:lang w:eastAsia="en-AU"/>
          <w14:ligatures w14:val="none"/>
        </w:rPr>
        <w:t>and</w:t>
      </w:r>
      <w:r w:rsidRPr="00324D1C">
        <w:rPr>
          <w:rFonts w:ascii="Times New Roman" w:eastAsia="Times New Roman" w:hAnsi="Times New Roman" w:cs="Times New Roman"/>
          <w:kern w:val="0"/>
          <w:sz w:val="24"/>
          <w:szCs w:val="24"/>
          <w:lang w:eastAsia="en-AU"/>
          <w14:ligatures w14:val="none"/>
        </w:rPr>
        <w:t xml:space="preserve"> (b) Clear, documented evidence that implementation would contravene ICANN's Bylaws or global public interest. Insert this wording verbatim into both Manuals, plus a non-exhaustive Annex with examples: (</w:t>
      </w:r>
      <w:proofErr w:type="spellStart"/>
      <w:r w:rsidRPr="00324D1C">
        <w:rPr>
          <w:rFonts w:ascii="Times New Roman" w:eastAsia="Times New Roman" w:hAnsi="Times New Roman" w:cs="Times New Roman"/>
          <w:kern w:val="0"/>
          <w:sz w:val="24"/>
          <w:szCs w:val="24"/>
          <w:lang w:eastAsia="en-AU"/>
          <w14:ligatures w14:val="none"/>
        </w:rPr>
        <w:t>i</w:t>
      </w:r>
      <w:proofErr w:type="spellEnd"/>
      <w:r w:rsidRPr="00324D1C">
        <w:rPr>
          <w:rFonts w:ascii="Times New Roman" w:eastAsia="Times New Roman" w:hAnsi="Times New Roman" w:cs="Times New Roman"/>
          <w:kern w:val="0"/>
          <w:sz w:val="24"/>
          <w:szCs w:val="24"/>
          <w:lang w:eastAsia="en-AU"/>
          <w14:ligatures w14:val="none"/>
        </w:rPr>
        <w:t xml:space="preserve">) </w:t>
      </w:r>
      <w:proofErr w:type="gramStart"/>
      <w:r w:rsidRPr="00324D1C">
        <w:rPr>
          <w:rFonts w:ascii="Times New Roman" w:eastAsia="Times New Roman" w:hAnsi="Times New Roman" w:cs="Times New Roman"/>
          <w:kern w:val="0"/>
          <w:sz w:val="24"/>
          <w:szCs w:val="24"/>
          <w:lang w:eastAsia="en-AU"/>
          <w14:ligatures w14:val="none"/>
        </w:rPr>
        <w:t>Post-adoption</w:t>
      </w:r>
      <w:proofErr w:type="gramEnd"/>
      <w:r w:rsidRPr="00324D1C">
        <w:rPr>
          <w:rFonts w:ascii="Times New Roman" w:eastAsia="Times New Roman" w:hAnsi="Times New Roman" w:cs="Times New Roman"/>
          <w:kern w:val="0"/>
          <w:sz w:val="24"/>
          <w:szCs w:val="24"/>
          <w:lang w:eastAsia="en-AU"/>
          <w14:ligatures w14:val="none"/>
        </w:rPr>
        <w:t xml:space="preserve"> regulatory shifts (e.g., national laws post-EPDP making data policies non-viable); (ii) Newly surfaced material risks (e.g., antitrust issues in </w:t>
      </w: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20.6 joint ventures). This sharpens usability while preventing policy disagreements from qualifying.</w:t>
      </w:r>
    </w:p>
    <w:p w14:paraId="46E4AB08"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Timelines</w:t>
      </w:r>
      <w:r w:rsidRPr="00324D1C">
        <w:rPr>
          <w:rFonts w:ascii="Times New Roman" w:eastAsia="Times New Roman" w:hAnsi="Times New Roman" w:cs="Times New Roman"/>
          <w:kern w:val="0"/>
          <w:sz w:val="24"/>
          <w:szCs w:val="24"/>
          <w:lang w:eastAsia="en-AU"/>
          <w14:ligatures w14:val="none"/>
        </w:rPr>
        <w:t xml:space="preserve">: The 90-day Board request window post-adoption is reasonable for urgency; however, the </w:t>
      </w:r>
      <w:proofErr w:type="gramStart"/>
      <w:r w:rsidRPr="00324D1C">
        <w:rPr>
          <w:rFonts w:ascii="Times New Roman" w:eastAsia="Times New Roman" w:hAnsi="Times New Roman" w:cs="Times New Roman"/>
          <w:kern w:val="0"/>
          <w:sz w:val="24"/>
          <w:szCs w:val="24"/>
          <w:lang w:eastAsia="en-AU"/>
          <w14:ligatures w14:val="none"/>
        </w:rPr>
        <w:t>60-90 day</w:t>
      </w:r>
      <w:proofErr w:type="gramEnd"/>
      <w:r w:rsidRPr="00324D1C">
        <w:rPr>
          <w:rFonts w:ascii="Times New Roman" w:eastAsia="Times New Roman" w:hAnsi="Times New Roman" w:cs="Times New Roman"/>
          <w:kern w:val="0"/>
          <w:sz w:val="24"/>
          <w:szCs w:val="24"/>
          <w:lang w:eastAsia="en-AU"/>
          <w14:ligatures w14:val="none"/>
        </w:rPr>
        <w:t xml:space="preserve"> GNSO Council response overlooks volunteer-driven realities (e.g., global coordination across time zones).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xml:space="preserve">: Extend Council response to </w:t>
      </w:r>
      <w:r w:rsidRPr="00324D1C">
        <w:rPr>
          <w:rFonts w:ascii="Times New Roman" w:eastAsia="Times New Roman" w:hAnsi="Times New Roman" w:cs="Times New Roman"/>
          <w:b/>
          <w:bCs/>
          <w:kern w:val="0"/>
          <w:sz w:val="24"/>
          <w:szCs w:val="24"/>
          <w:lang w:eastAsia="en-AU"/>
          <w14:ligatures w14:val="none"/>
        </w:rPr>
        <w:t>120 calendar days</w:t>
      </w:r>
      <w:r w:rsidRPr="00324D1C">
        <w:rPr>
          <w:rFonts w:ascii="Times New Roman" w:eastAsia="Times New Roman" w:hAnsi="Times New Roman" w:cs="Times New Roman"/>
          <w:kern w:val="0"/>
          <w:sz w:val="24"/>
          <w:szCs w:val="24"/>
          <w:lang w:eastAsia="en-AU"/>
          <w14:ligatures w14:val="none"/>
        </w:rPr>
        <w:t>, with an automatic 60-day extension if notified for broader consultation (e.g., At-Large review). For GGPs (advisory and faster), cap at 90 days to preserve efficiency—avoiding unintended delays in end-user guidance.</w:t>
      </w:r>
    </w:p>
    <w:p w14:paraId="4D823BC8"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Prevention of Frivolous or Routine Use</w:t>
      </w:r>
      <w:r w:rsidRPr="00324D1C">
        <w:rPr>
          <w:rFonts w:ascii="Times New Roman" w:eastAsia="Times New Roman" w:hAnsi="Times New Roman" w:cs="Times New Roman"/>
          <w:kern w:val="0"/>
          <w:sz w:val="24"/>
          <w:szCs w:val="24"/>
          <w:lang w:eastAsia="en-AU"/>
          <w14:ligatures w14:val="none"/>
        </w:rPr>
        <w:t xml:space="preserve">: The exceptional-use intent is strong, but without limits, it could enable iterative reversals, </w:t>
      </w:r>
      <w:proofErr w:type="gramStart"/>
      <w:r w:rsidRPr="00324D1C">
        <w:rPr>
          <w:rFonts w:ascii="Times New Roman" w:eastAsia="Times New Roman" w:hAnsi="Times New Roman" w:cs="Times New Roman"/>
          <w:kern w:val="0"/>
          <w:sz w:val="24"/>
          <w:szCs w:val="24"/>
          <w:lang w:eastAsia="en-AU"/>
          <w14:ligatures w14:val="none"/>
        </w:rPr>
        <w:t>eroding</w:t>
      </w:r>
      <w:proofErr w:type="gramEnd"/>
      <w:r w:rsidRPr="00324D1C">
        <w:rPr>
          <w:rFonts w:ascii="Times New Roman" w:eastAsia="Times New Roman" w:hAnsi="Times New Roman" w:cs="Times New Roman"/>
          <w:kern w:val="0"/>
          <w:sz w:val="24"/>
          <w:szCs w:val="24"/>
          <w:lang w:eastAsia="en-AU"/>
          <w14:ligatures w14:val="none"/>
        </w:rPr>
        <w:t xml:space="preserve"> trust and delaying implementations.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xml:space="preserve">: Strictly limit to </w:t>
      </w:r>
      <w:r w:rsidRPr="00324D1C">
        <w:rPr>
          <w:rFonts w:ascii="Times New Roman" w:eastAsia="Times New Roman" w:hAnsi="Times New Roman" w:cs="Times New Roman"/>
          <w:b/>
          <w:bCs/>
          <w:kern w:val="0"/>
          <w:sz w:val="24"/>
          <w:szCs w:val="24"/>
          <w:lang w:eastAsia="en-AU"/>
          <w14:ligatures w14:val="none"/>
        </w:rPr>
        <w:t>one request per recommendation</w:t>
      </w:r>
      <w:r w:rsidRPr="00324D1C">
        <w:rPr>
          <w:rFonts w:ascii="Times New Roman" w:eastAsia="Times New Roman" w:hAnsi="Times New Roman" w:cs="Times New Roman"/>
          <w:kern w:val="0"/>
          <w:sz w:val="24"/>
          <w:szCs w:val="24"/>
          <w:lang w:eastAsia="en-AU"/>
          <w14:ligatures w14:val="none"/>
        </w:rPr>
        <w:t>; any subsequent must escalate to the formal Bylaws Reconsideration process (Article 4, Section 4.2). This provides finality without constraining genuine fiduciary needs.</w:t>
      </w:r>
    </w:p>
    <w:p w14:paraId="183C3463"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Transparency and Documentation</w:t>
      </w:r>
      <w:r w:rsidRPr="00324D1C">
        <w:rPr>
          <w:rFonts w:ascii="Times New Roman" w:eastAsia="Times New Roman" w:hAnsi="Times New Roman" w:cs="Times New Roman"/>
          <w:kern w:val="0"/>
          <w:sz w:val="24"/>
          <w:szCs w:val="24"/>
          <w:lang w:eastAsia="en-AU"/>
          <w14:ligatures w14:val="none"/>
        </w:rPr>
        <w:t xml:space="preserve">: Public rationales and postings are a good foundation for accountability.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xml:space="preserve">: Mandate a </w:t>
      </w:r>
      <w:r w:rsidRPr="00324D1C">
        <w:rPr>
          <w:rFonts w:ascii="Times New Roman" w:eastAsia="Times New Roman" w:hAnsi="Times New Roman" w:cs="Times New Roman"/>
          <w:b/>
          <w:bCs/>
          <w:kern w:val="0"/>
          <w:sz w:val="24"/>
          <w:szCs w:val="24"/>
          <w:lang w:eastAsia="en-AU"/>
          <w14:ligatures w14:val="none"/>
        </w:rPr>
        <w:t>10-calendar-day public comment period</w:t>
      </w:r>
      <w:r w:rsidRPr="00324D1C">
        <w:rPr>
          <w:rFonts w:ascii="Times New Roman" w:eastAsia="Times New Roman" w:hAnsi="Times New Roman" w:cs="Times New Roman"/>
          <w:kern w:val="0"/>
          <w:sz w:val="24"/>
          <w:szCs w:val="24"/>
          <w:lang w:eastAsia="en-AU"/>
          <w14:ligatures w14:val="none"/>
        </w:rPr>
        <w:t xml:space="preserve"> on the Board's initial rationale via ICANN's tool, explicitly inviting At-Large input for user-impacting topics (e.g., privacy, competition). Require a brief </w:t>
      </w:r>
      <w:r w:rsidRPr="00324D1C">
        <w:rPr>
          <w:rFonts w:ascii="Times New Roman" w:eastAsia="Times New Roman" w:hAnsi="Times New Roman" w:cs="Times New Roman"/>
          <w:kern w:val="0"/>
          <w:sz w:val="24"/>
          <w:szCs w:val="24"/>
          <w:lang w:eastAsia="en-AU"/>
          <w14:ligatures w14:val="none"/>
        </w:rPr>
        <w:lastRenderedPageBreak/>
        <w:t>end-user impact assessment in the rationale, evaluating effects on accessibility and inclusion.</w:t>
      </w:r>
    </w:p>
    <w:p w14:paraId="58B26D70"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Unintended Consequences for PDPs vs. GGPs</w:t>
      </w:r>
      <w:r w:rsidRPr="00324D1C">
        <w:rPr>
          <w:rFonts w:ascii="Times New Roman" w:eastAsia="Times New Roman" w:hAnsi="Times New Roman" w:cs="Times New Roman"/>
          <w:kern w:val="0"/>
          <w:sz w:val="24"/>
          <w:szCs w:val="24"/>
          <w:lang w:eastAsia="en-AU"/>
          <w14:ligatures w14:val="none"/>
        </w:rPr>
        <w:t xml:space="preserve">: Uniform application promotes consistency, but GGPs—often quicker for non-binding advice—could be overburdened, stifling innovation. No evident chilling on PDPs if thresholds are objective.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Exempt low-risk GGPs (e.g., non-consumer-facing guidance) from full reversal; apply streamlined timelines. Monitor via post-implementation review to assess volunteer burden.</w:t>
      </w:r>
    </w:p>
    <w:p w14:paraId="501D59B9" w14:textId="77777777" w:rsidR="00324D1C" w:rsidRPr="00324D1C" w:rsidRDefault="00324D1C" w:rsidP="00324D1C">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roofErr w:type="gramStart"/>
      <w:r w:rsidRPr="00324D1C">
        <w:rPr>
          <w:rFonts w:ascii="Times New Roman" w:eastAsia="Times New Roman" w:hAnsi="Times New Roman" w:cs="Times New Roman"/>
          <w:b/>
          <w:bCs/>
          <w:kern w:val="0"/>
          <w:sz w:val="24"/>
          <w:szCs w:val="24"/>
          <w:lang w:eastAsia="en-AU"/>
          <w14:ligatures w14:val="none"/>
        </w:rPr>
        <w:t>Overall</w:t>
      </w:r>
      <w:proofErr w:type="gramEnd"/>
      <w:r w:rsidRPr="00324D1C">
        <w:rPr>
          <w:rFonts w:ascii="Times New Roman" w:eastAsia="Times New Roman" w:hAnsi="Times New Roman" w:cs="Times New Roman"/>
          <w:b/>
          <w:bCs/>
          <w:kern w:val="0"/>
          <w:sz w:val="24"/>
          <w:szCs w:val="24"/>
          <w:lang w:eastAsia="en-AU"/>
          <w14:ligatures w14:val="none"/>
        </w:rPr>
        <w:t xml:space="preserve"> Balance with Bylaws and Fiduciary Duties</w:t>
      </w:r>
      <w:r w:rsidRPr="00324D1C">
        <w:rPr>
          <w:rFonts w:ascii="Times New Roman" w:eastAsia="Times New Roman" w:hAnsi="Times New Roman" w:cs="Times New Roman"/>
          <w:kern w:val="0"/>
          <w:sz w:val="24"/>
          <w:szCs w:val="24"/>
          <w:lang w:eastAsia="en-AU"/>
          <w14:ligatures w14:val="none"/>
        </w:rPr>
        <w:t xml:space="preserve">: The proposal wisely avoids binding the Board, preserving discretion post-reaffirmation (with public justification). </w:t>
      </w:r>
      <w:r w:rsidRPr="00324D1C">
        <w:rPr>
          <w:rFonts w:ascii="Times New Roman" w:eastAsia="Times New Roman" w:hAnsi="Times New Roman" w:cs="Times New Roman"/>
          <w:b/>
          <w:bCs/>
          <w:kern w:val="0"/>
          <w:sz w:val="24"/>
          <w:szCs w:val="24"/>
          <w:lang w:eastAsia="en-AU"/>
          <w14:ligatures w14:val="none"/>
        </w:rPr>
        <w:t>Recommendation</w:t>
      </w:r>
      <w:r w:rsidRPr="00324D1C">
        <w:rPr>
          <w:rFonts w:ascii="Times New Roman" w:eastAsia="Times New Roman" w:hAnsi="Times New Roman" w:cs="Times New Roman"/>
          <w:kern w:val="0"/>
          <w:sz w:val="24"/>
          <w:szCs w:val="24"/>
          <w:lang w:eastAsia="en-AU"/>
          <w14:ligatures w14:val="none"/>
        </w:rPr>
        <w:t>: Add a non-retroactivity clause: "This process shall apply prospectively only, not to recommendations adopted prior to the effective date." Explicitly cross-reference Bylaws Article 11 to reaffirm GNSO primacy, ensuring reversals enhance—not erode—multistakeholder collaboration.</w:t>
      </w:r>
    </w:p>
    <w:p w14:paraId="1107E79A"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Overall Position</w:t>
      </w:r>
      <w:r w:rsidRPr="00324D1C">
        <w:rPr>
          <w:rFonts w:ascii="Times New Roman" w:eastAsia="Times New Roman" w:hAnsi="Times New Roman" w:cs="Times New Roman"/>
          <w:kern w:val="0"/>
          <w:sz w:val="24"/>
          <w:szCs w:val="24"/>
          <w:lang w:eastAsia="en-AU"/>
          <w14:ligatures w14:val="none"/>
        </w:rPr>
        <w:t xml:space="preserve">: With these refinements, the updates will close the </w:t>
      </w: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gap effectively, fostering trust and efficiency while </w:t>
      </w:r>
      <w:proofErr w:type="spellStart"/>
      <w:r w:rsidRPr="00324D1C">
        <w:rPr>
          <w:rFonts w:ascii="Times New Roman" w:eastAsia="Times New Roman" w:hAnsi="Times New Roman" w:cs="Times New Roman"/>
          <w:kern w:val="0"/>
          <w:sz w:val="24"/>
          <w:szCs w:val="24"/>
          <w:lang w:eastAsia="en-AU"/>
          <w14:ligatures w14:val="none"/>
        </w:rPr>
        <w:t>centering</w:t>
      </w:r>
      <w:proofErr w:type="spellEnd"/>
      <w:r w:rsidRPr="00324D1C">
        <w:rPr>
          <w:rFonts w:ascii="Times New Roman" w:eastAsia="Times New Roman" w:hAnsi="Times New Roman" w:cs="Times New Roman"/>
          <w:kern w:val="0"/>
          <w:sz w:val="24"/>
          <w:szCs w:val="24"/>
          <w:lang w:eastAsia="en-AU"/>
          <w14:ligatures w14:val="none"/>
        </w:rPr>
        <w:t xml:space="preserve"> end-user voices. I urge the GNSO Council to adopt them in the February 2026 vote, informed by this extended comment period. This mechanism can model ICANN's collaborative ethos—thank you for the opportunity.</w:t>
      </w:r>
    </w:p>
    <w:p w14:paraId="774CA6CE"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References</w:t>
      </w:r>
      <w:r w:rsidRPr="00324D1C">
        <w:rPr>
          <w:rFonts w:ascii="Times New Roman" w:eastAsia="Times New Roman" w:hAnsi="Times New Roman" w:cs="Times New Roman"/>
          <w:kern w:val="0"/>
          <w:sz w:val="24"/>
          <w:szCs w:val="24"/>
          <w:lang w:eastAsia="en-AU"/>
          <w14:ligatures w14:val="none"/>
        </w:rPr>
        <w:t>:</w:t>
      </w:r>
    </w:p>
    <w:p w14:paraId="52A81EF3" w14:textId="77777777" w:rsidR="00324D1C" w:rsidRPr="00324D1C" w:rsidRDefault="00324D1C" w:rsidP="00324D1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kern w:val="0"/>
          <w:sz w:val="24"/>
          <w:szCs w:val="24"/>
          <w:lang w:eastAsia="en-AU"/>
          <w14:ligatures w14:val="none"/>
        </w:rPr>
        <w:t>ICANN Bylaws (Articles 2, 4, 11).</w:t>
      </w:r>
    </w:p>
    <w:p w14:paraId="16B842B2" w14:textId="77777777" w:rsidR="00324D1C" w:rsidRPr="00324D1C" w:rsidRDefault="00324D1C" w:rsidP="00324D1C">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PDP Final Report (ICANN.org).</w:t>
      </w:r>
    </w:p>
    <w:p w14:paraId="35E36827" w14:textId="571F60CD"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kern w:val="0"/>
          <w:sz w:val="24"/>
          <w:szCs w:val="24"/>
          <w:lang w:eastAsia="en-AU"/>
          <w14:ligatures w14:val="none"/>
        </w:rPr>
        <w:t xml:space="preserve">Contact: </w:t>
      </w:r>
      <w:r>
        <w:rPr>
          <w:rFonts w:ascii="Times New Roman" w:eastAsia="Times New Roman" w:hAnsi="Times New Roman" w:cs="Times New Roman"/>
          <w:kern w:val="0"/>
          <w:sz w:val="24"/>
          <w:szCs w:val="24"/>
          <w:lang w:eastAsia="en-AU"/>
          <w14:ligatures w14:val="none"/>
        </w:rPr>
        <w:t>alpharulz@gmail.com</w:t>
      </w:r>
      <w:r w:rsidRPr="00324D1C">
        <w:rPr>
          <w:rFonts w:ascii="Times New Roman" w:eastAsia="Times New Roman" w:hAnsi="Times New Roman" w:cs="Times New Roman"/>
          <w:kern w:val="0"/>
          <w:sz w:val="24"/>
          <w:szCs w:val="24"/>
          <w:lang w:eastAsia="en-AU"/>
          <w14:ligatures w14:val="none"/>
        </w:rPr>
        <w:t xml:space="preserve"> for follow-up.</w:t>
      </w:r>
    </w:p>
    <w:p w14:paraId="701F7090"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kern w:val="0"/>
          <w:sz w:val="24"/>
          <w:szCs w:val="24"/>
          <w:lang w:eastAsia="en-AU"/>
          <w14:ligatures w14:val="none"/>
        </w:rPr>
        <w:t>(Word count: ~620; Char count: ~3,500)</w:t>
      </w:r>
    </w:p>
    <w:p w14:paraId="6674B438"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Summary of Attachment</w:t>
      </w:r>
      <w:r w:rsidRPr="00324D1C">
        <w:rPr>
          <w:rFonts w:ascii="Times New Roman" w:eastAsia="Times New Roman" w:hAnsi="Times New Roman" w:cs="Times New Roman"/>
          <w:kern w:val="0"/>
          <w:sz w:val="24"/>
          <w:szCs w:val="24"/>
          <w:lang w:eastAsia="en-AU"/>
          <w14:ligatures w14:val="none"/>
        </w:rPr>
        <w:t xml:space="preserve"> No attachment submitted; the full comment is provided in the "Other Comments" field. If attaching: "Supplementary PDF with At-Large analysis of </w:t>
      </w: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20.6 and EPDP cases, including proposed Annex examples for the PDP Manual. This is in addition to, not in lieu of, the main submission." (Char count: ~250/2,000)</w:t>
      </w:r>
    </w:p>
    <w:p w14:paraId="2632B418" w14:textId="77777777" w:rsidR="00324D1C" w:rsidRPr="00324D1C" w:rsidRDefault="00324D1C" w:rsidP="00324D1C">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324D1C">
        <w:rPr>
          <w:rFonts w:ascii="Times New Roman" w:eastAsia="Times New Roman" w:hAnsi="Times New Roman" w:cs="Times New Roman"/>
          <w:b/>
          <w:bCs/>
          <w:kern w:val="0"/>
          <w:sz w:val="24"/>
          <w:szCs w:val="24"/>
          <w:lang w:eastAsia="en-AU"/>
          <w14:ligatures w14:val="none"/>
        </w:rPr>
        <w:t>Summary of Submission</w:t>
      </w:r>
      <w:r w:rsidRPr="00324D1C">
        <w:rPr>
          <w:rFonts w:ascii="Times New Roman" w:eastAsia="Times New Roman" w:hAnsi="Times New Roman" w:cs="Times New Roman"/>
          <w:kern w:val="0"/>
          <w:sz w:val="24"/>
          <w:szCs w:val="24"/>
          <w:lang w:eastAsia="en-AU"/>
          <w14:ligatures w14:val="none"/>
        </w:rPr>
        <w:t xml:space="preserve"> </w:t>
      </w:r>
      <w:proofErr w:type="gramStart"/>
      <w:r w:rsidRPr="00324D1C">
        <w:rPr>
          <w:rFonts w:ascii="Times New Roman" w:eastAsia="Times New Roman" w:hAnsi="Times New Roman" w:cs="Times New Roman"/>
          <w:kern w:val="0"/>
          <w:sz w:val="24"/>
          <w:szCs w:val="24"/>
          <w:lang w:eastAsia="en-AU"/>
          <w14:ligatures w14:val="none"/>
        </w:rPr>
        <w:t>The</w:t>
      </w:r>
      <w:proofErr w:type="gramEnd"/>
      <w:r w:rsidRPr="00324D1C">
        <w:rPr>
          <w:rFonts w:ascii="Times New Roman" w:eastAsia="Times New Roman" w:hAnsi="Times New Roman" w:cs="Times New Roman"/>
          <w:kern w:val="0"/>
          <w:sz w:val="24"/>
          <w:szCs w:val="24"/>
          <w:lang w:eastAsia="en-AU"/>
          <w14:ligatures w14:val="none"/>
        </w:rPr>
        <w:t xml:space="preserve"> At-Large Advisory Committee (ALAC) supports the GNSO's proposal to enable Board reversal of adopted recommendations, closing the procedural gap from </w:t>
      </w:r>
      <w:proofErr w:type="spellStart"/>
      <w:r w:rsidRPr="00324D1C">
        <w:rPr>
          <w:rFonts w:ascii="Times New Roman" w:eastAsia="Times New Roman" w:hAnsi="Times New Roman" w:cs="Times New Roman"/>
          <w:kern w:val="0"/>
          <w:sz w:val="24"/>
          <w:szCs w:val="24"/>
          <w:lang w:eastAsia="en-AU"/>
          <w14:ligatures w14:val="none"/>
        </w:rPr>
        <w:t>SubPro</w:t>
      </w:r>
      <w:proofErr w:type="spellEnd"/>
      <w:r w:rsidRPr="00324D1C">
        <w:rPr>
          <w:rFonts w:ascii="Times New Roman" w:eastAsia="Times New Roman" w:hAnsi="Times New Roman" w:cs="Times New Roman"/>
          <w:kern w:val="0"/>
          <w:sz w:val="24"/>
          <w:szCs w:val="24"/>
          <w:lang w:eastAsia="en-AU"/>
          <w14:ligatures w14:val="none"/>
        </w:rPr>
        <w:t xml:space="preserve"> Recommendation 20.6 while balancing fiduciary flexibility with multistakeholder guardrails. High-level observations: The threshold needs an objective two-part test with examples; timelines require volunteer extensions (120 days +60); limit to one request; add 10-day public comment and end-user assessments; exempt low-risk GGPs; include non-retroactivity. These ensure exceptional use, prevent abuse, enhance transparency, and protect end-user interests without Bylaws conflicts—strongly endorse with these refinements for ICANN's inclusive model. (Char count: ~650/2,000)</w:t>
      </w:r>
    </w:p>
    <w:p w14:paraId="785A688D" w14:textId="77777777" w:rsidR="009B3C28" w:rsidRDefault="009B3C28"/>
    <w:sectPr w:rsidR="009B3C28" w:rsidSect="00470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537A2"/>
    <w:multiLevelType w:val="multilevel"/>
    <w:tmpl w:val="389C2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345DFD"/>
    <w:multiLevelType w:val="multilevel"/>
    <w:tmpl w:val="E4D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229265">
    <w:abstractNumId w:val="0"/>
  </w:num>
  <w:num w:numId="2" w16cid:durableId="9861264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1C"/>
    <w:rsid w:val="00324D1C"/>
    <w:rsid w:val="00401F29"/>
    <w:rsid w:val="00470B4E"/>
    <w:rsid w:val="004F7A96"/>
    <w:rsid w:val="009B3C28"/>
    <w:rsid w:val="00A0442F"/>
    <w:rsid w:val="00A66F36"/>
    <w:rsid w:val="00C55A03"/>
    <w:rsid w:val="00CF0DC3"/>
    <w:rsid w:val="00DD18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5B09"/>
  <w15:chartTrackingRefBased/>
  <w15:docId w15:val="{1200D9A0-EEF8-4430-B1A0-86F66CC5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B4E"/>
  </w:style>
  <w:style w:type="paragraph" w:styleId="Heading1">
    <w:name w:val="heading 1"/>
    <w:basedOn w:val="Normal"/>
    <w:next w:val="Normal"/>
    <w:link w:val="Heading1Char"/>
    <w:uiPriority w:val="9"/>
    <w:qFormat/>
    <w:rsid w:val="00324D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4D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4D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4D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4D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4D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D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D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D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D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D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D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D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4D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4D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D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D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D1C"/>
    <w:rPr>
      <w:rFonts w:eastAsiaTheme="majorEastAsia" w:cstheme="majorBidi"/>
      <w:color w:val="272727" w:themeColor="text1" w:themeTint="D8"/>
    </w:rPr>
  </w:style>
  <w:style w:type="paragraph" w:styleId="Title">
    <w:name w:val="Title"/>
    <w:basedOn w:val="Normal"/>
    <w:next w:val="Normal"/>
    <w:link w:val="TitleChar"/>
    <w:uiPriority w:val="10"/>
    <w:qFormat/>
    <w:rsid w:val="00324D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D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D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D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D1C"/>
    <w:pPr>
      <w:spacing w:before="160"/>
      <w:jc w:val="center"/>
    </w:pPr>
    <w:rPr>
      <w:i/>
      <w:iCs/>
      <w:color w:val="404040" w:themeColor="text1" w:themeTint="BF"/>
    </w:rPr>
  </w:style>
  <w:style w:type="character" w:customStyle="1" w:styleId="QuoteChar">
    <w:name w:val="Quote Char"/>
    <w:basedOn w:val="DefaultParagraphFont"/>
    <w:link w:val="Quote"/>
    <w:uiPriority w:val="29"/>
    <w:rsid w:val="00324D1C"/>
    <w:rPr>
      <w:i/>
      <w:iCs/>
      <w:color w:val="404040" w:themeColor="text1" w:themeTint="BF"/>
    </w:rPr>
  </w:style>
  <w:style w:type="paragraph" w:styleId="ListParagraph">
    <w:name w:val="List Paragraph"/>
    <w:basedOn w:val="Normal"/>
    <w:uiPriority w:val="34"/>
    <w:qFormat/>
    <w:rsid w:val="00324D1C"/>
    <w:pPr>
      <w:ind w:left="720"/>
      <w:contextualSpacing/>
    </w:pPr>
  </w:style>
  <w:style w:type="character" w:styleId="IntenseEmphasis">
    <w:name w:val="Intense Emphasis"/>
    <w:basedOn w:val="DefaultParagraphFont"/>
    <w:uiPriority w:val="21"/>
    <w:qFormat/>
    <w:rsid w:val="00324D1C"/>
    <w:rPr>
      <w:i/>
      <w:iCs/>
      <w:color w:val="2F5496" w:themeColor="accent1" w:themeShade="BF"/>
    </w:rPr>
  </w:style>
  <w:style w:type="paragraph" w:styleId="IntenseQuote">
    <w:name w:val="Intense Quote"/>
    <w:basedOn w:val="Normal"/>
    <w:next w:val="Normal"/>
    <w:link w:val="IntenseQuoteChar"/>
    <w:uiPriority w:val="30"/>
    <w:qFormat/>
    <w:rsid w:val="00324D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4D1C"/>
    <w:rPr>
      <w:i/>
      <w:iCs/>
      <w:color w:val="2F5496" w:themeColor="accent1" w:themeShade="BF"/>
    </w:rPr>
  </w:style>
  <w:style w:type="character" w:styleId="IntenseReference">
    <w:name w:val="Intense Reference"/>
    <w:basedOn w:val="DefaultParagraphFont"/>
    <w:uiPriority w:val="32"/>
    <w:qFormat/>
    <w:rsid w:val="00324D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898</Words>
  <Characters>5125</Characters>
  <Application>Microsoft Office Word</Application>
  <DocSecurity>0</DocSecurity>
  <Lines>42</Lines>
  <Paragraphs>12</Paragraphs>
  <ScaleCrop>false</ScaleCrop>
  <Company>HP</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Omega Maximus</dc:creator>
  <cp:keywords/>
  <dc:description/>
  <cp:lastModifiedBy>Omega Maximus</cp:lastModifiedBy>
  <cp:revision>1</cp:revision>
  <dcterms:created xsi:type="dcterms:W3CDTF">2025-12-03T02:10:00Z</dcterms:created>
  <dcterms:modified xsi:type="dcterms:W3CDTF">2025-12-03T02:13:00Z</dcterms:modified>
</cp:coreProperties>
</file>